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E4" w:rsidRDefault="0069728D">
      <w:pPr>
        <w:jc w:val="center"/>
        <w:rPr>
          <w:rFonts w:ascii="黑体" w:eastAsia="黑体" w:hAnsi="黑体"/>
          <w:sz w:val="32"/>
          <w:szCs w:val="32"/>
        </w:rPr>
      </w:pPr>
      <w:r>
        <w:rPr>
          <w:rFonts w:ascii="黑体" w:eastAsia="黑体" w:hAnsi="黑体" w:hint="eastAsia"/>
          <w:sz w:val="32"/>
          <w:szCs w:val="32"/>
        </w:rPr>
        <w:t>北京大学教育基金会项目管理制度</w:t>
      </w:r>
    </w:p>
    <w:p w:rsidR="00337FE4" w:rsidRDefault="00337FE4">
      <w:pPr>
        <w:rPr>
          <w:rFonts w:ascii="黑体" w:eastAsia="黑体" w:hAnsi="黑体"/>
          <w:sz w:val="32"/>
          <w:szCs w:val="32"/>
        </w:rPr>
      </w:pPr>
    </w:p>
    <w:p w:rsidR="00337FE4" w:rsidRDefault="0069728D">
      <w:pPr>
        <w:jc w:val="center"/>
        <w:rPr>
          <w:rFonts w:ascii="仿宋" w:eastAsia="仿宋" w:hAnsi="仿宋"/>
          <w:sz w:val="28"/>
          <w:szCs w:val="28"/>
        </w:rPr>
      </w:pPr>
      <w:r>
        <w:rPr>
          <w:rFonts w:ascii="仿宋" w:eastAsia="仿宋" w:hAnsi="仿宋" w:hint="eastAsia"/>
          <w:sz w:val="28"/>
          <w:szCs w:val="28"/>
        </w:rPr>
        <w:t>第一章  宗旨</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第一条  为规范加强北京大学教育基金会（以下简称基金会）捐赠项目管理，根据《中华人民共和国慈善法》、《基金会管理条例》和《北京大学教育基金会章程》，结合基金会捐赠项目特点，特制定本制度。</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 xml:space="preserve">第二条 </w:t>
      </w:r>
      <w:r>
        <w:rPr>
          <w:rFonts w:hint="eastAsia"/>
          <w:sz w:val="24"/>
          <w:szCs w:val="24"/>
        </w:rPr>
        <w:t xml:space="preserve"> </w:t>
      </w:r>
      <w:r>
        <w:rPr>
          <w:rFonts w:ascii="仿宋" w:eastAsia="仿宋" w:hAnsi="仿宋" w:hint="eastAsia"/>
          <w:sz w:val="28"/>
          <w:szCs w:val="28"/>
        </w:rPr>
        <w:t>基金会</w:t>
      </w:r>
      <w:r>
        <w:rPr>
          <w:rFonts w:ascii="仿宋" w:eastAsia="仿宋" w:hAnsi="仿宋"/>
          <w:sz w:val="28"/>
          <w:szCs w:val="28"/>
        </w:rPr>
        <w:t>项目管理</w:t>
      </w:r>
      <w:r>
        <w:rPr>
          <w:rFonts w:ascii="仿宋" w:eastAsia="仿宋" w:hAnsi="仿宋" w:hint="eastAsia"/>
          <w:sz w:val="28"/>
          <w:szCs w:val="28"/>
        </w:rPr>
        <w:t>秉持“规范、透明、效益、安全、服务”的总方针，积极</w:t>
      </w:r>
      <w:r>
        <w:rPr>
          <w:rFonts w:ascii="仿宋" w:eastAsia="仿宋" w:hAnsi="仿宋"/>
          <w:sz w:val="28"/>
          <w:szCs w:val="28"/>
        </w:rPr>
        <w:t>接受</w:t>
      </w:r>
      <w:r>
        <w:rPr>
          <w:rFonts w:ascii="仿宋" w:eastAsia="仿宋" w:hAnsi="仿宋" w:hint="eastAsia"/>
          <w:sz w:val="28"/>
          <w:szCs w:val="28"/>
        </w:rPr>
        <w:t>捐赠</w:t>
      </w:r>
      <w:r>
        <w:rPr>
          <w:rFonts w:ascii="仿宋" w:eastAsia="仿宋" w:hAnsi="仿宋"/>
          <w:sz w:val="28"/>
          <w:szCs w:val="28"/>
        </w:rPr>
        <w:t>人和社会各界</w:t>
      </w:r>
      <w:r>
        <w:rPr>
          <w:rFonts w:ascii="仿宋" w:eastAsia="仿宋" w:hAnsi="仿宋" w:hint="eastAsia"/>
          <w:sz w:val="28"/>
          <w:szCs w:val="28"/>
        </w:rPr>
        <w:t>的</w:t>
      </w:r>
      <w:r>
        <w:rPr>
          <w:rFonts w:ascii="仿宋" w:eastAsia="仿宋" w:hAnsi="仿宋"/>
          <w:sz w:val="28"/>
          <w:szCs w:val="28"/>
        </w:rPr>
        <w:t>监督</w:t>
      </w:r>
      <w:r>
        <w:rPr>
          <w:rFonts w:ascii="仿宋" w:eastAsia="仿宋" w:hAnsi="仿宋" w:hint="eastAsia"/>
          <w:sz w:val="28"/>
          <w:szCs w:val="28"/>
        </w:rPr>
        <w:t>，通过对捐赠项目的有效管理，提升基金会公信力，促进基金会健康、可持续发展。</w:t>
      </w:r>
    </w:p>
    <w:p w:rsidR="00337FE4" w:rsidRDefault="0069728D">
      <w:pPr>
        <w:spacing w:line="360" w:lineRule="auto"/>
        <w:ind w:firstLineChars="200" w:firstLine="560"/>
        <w:jc w:val="left"/>
        <w:rPr>
          <w:rFonts w:ascii="仿宋" w:eastAsia="仿宋" w:hAnsi="仿宋"/>
          <w:color w:val="000000" w:themeColor="text1"/>
          <w:sz w:val="28"/>
          <w:szCs w:val="28"/>
        </w:rPr>
      </w:pPr>
      <w:r>
        <w:rPr>
          <w:rFonts w:ascii="仿宋" w:eastAsia="仿宋" w:hAnsi="仿宋" w:hint="eastAsia"/>
          <w:sz w:val="28"/>
          <w:szCs w:val="28"/>
        </w:rPr>
        <w:t xml:space="preserve">第三条  </w:t>
      </w:r>
      <w:r>
        <w:rPr>
          <w:rFonts w:ascii="仿宋" w:eastAsia="仿宋" w:hAnsi="仿宋" w:hint="eastAsia"/>
          <w:color w:val="000000" w:themeColor="text1"/>
          <w:sz w:val="28"/>
          <w:szCs w:val="28"/>
        </w:rPr>
        <w:t>基金会项目管理包括项目的设计开发、设立审批、执行监管、反馈宣传等环节。基金会秘书处配置专人承担相应工作，其主要职责是：</w:t>
      </w:r>
    </w:p>
    <w:p w:rsidR="00337FE4" w:rsidRDefault="0069728D">
      <w:pPr>
        <w:spacing w:line="360" w:lineRule="auto"/>
        <w:ind w:leftChars="266" w:left="559"/>
        <w:jc w:val="left"/>
        <w:rPr>
          <w:rFonts w:ascii="仿宋" w:eastAsia="仿宋" w:hAnsi="仿宋"/>
          <w:color w:val="000000" w:themeColor="text1"/>
          <w:sz w:val="28"/>
          <w:szCs w:val="28"/>
        </w:rPr>
      </w:pPr>
      <w:r>
        <w:rPr>
          <w:rFonts w:ascii="仿宋" w:eastAsia="仿宋" w:hAnsi="仿宋" w:hint="eastAsia"/>
          <w:color w:val="000000" w:themeColor="text1"/>
          <w:sz w:val="28"/>
          <w:szCs w:val="28"/>
        </w:rPr>
        <w:t>1、根据学校和基金会的发展规划，进行项目策划、设计和立项审批；</w:t>
      </w:r>
    </w:p>
    <w:p w:rsidR="00337FE4" w:rsidRDefault="0069728D">
      <w:pPr>
        <w:spacing w:line="360" w:lineRule="auto"/>
        <w:ind w:leftChars="266" w:left="559"/>
        <w:jc w:val="left"/>
        <w:rPr>
          <w:rFonts w:ascii="仿宋" w:eastAsia="仿宋" w:hAnsi="仿宋"/>
          <w:color w:val="000000" w:themeColor="text1"/>
          <w:sz w:val="28"/>
          <w:szCs w:val="28"/>
        </w:rPr>
      </w:pPr>
      <w:r>
        <w:rPr>
          <w:rFonts w:ascii="仿宋" w:eastAsia="仿宋" w:hAnsi="仿宋" w:hint="eastAsia"/>
          <w:color w:val="000000" w:themeColor="text1"/>
          <w:sz w:val="28"/>
          <w:szCs w:val="28"/>
        </w:rPr>
        <w:t>2、开展部门和项目的管理制度建设；</w:t>
      </w:r>
    </w:p>
    <w:p w:rsidR="00337FE4" w:rsidRDefault="0069728D">
      <w:pPr>
        <w:spacing w:line="360" w:lineRule="auto"/>
        <w:ind w:leftChars="266" w:left="559"/>
        <w:jc w:val="left"/>
        <w:rPr>
          <w:rFonts w:ascii="仿宋" w:eastAsia="仿宋" w:hAnsi="仿宋"/>
          <w:sz w:val="28"/>
          <w:szCs w:val="28"/>
        </w:rPr>
      </w:pPr>
      <w:r>
        <w:rPr>
          <w:rFonts w:ascii="仿宋" w:eastAsia="仿宋" w:hAnsi="仿宋" w:hint="eastAsia"/>
          <w:color w:val="000000" w:themeColor="text1"/>
          <w:sz w:val="28"/>
          <w:szCs w:val="28"/>
        </w:rPr>
        <w:t>3、</w:t>
      </w:r>
      <w:r>
        <w:rPr>
          <w:rFonts w:ascii="仿宋" w:eastAsia="仿宋" w:hAnsi="仿宋" w:hint="eastAsia"/>
          <w:sz w:val="28"/>
          <w:szCs w:val="28"/>
        </w:rPr>
        <w:t>对项目执行过程进行管理，完成项目计划，实现项目目标；</w:t>
      </w:r>
    </w:p>
    <w:p w:rsidR="00337FE4" w:rsidRDefault="0069728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4、定期向捐赠人报告项目的执行情况、使用效果和社会评价；</w:t>
      </w:r>
    </w:p>
    <w:p w:rsidR="00337FE4" w:rsidRDefault="0069728D">
      <w:pPr>
        <w:spacing w:line="360" w:lineRule="auto"/>
        <w:ind w:firstLineChars="200" w:firstLine="560"/>
        <w:jc w:val="left"/>
        <w:rPr>
          <w:rFonts w:asciiTheme="minorEastAsia" w:hAnsiTheme="minorEastAsia"/>
          <w:sz w:val="24"/>
          <w:szCs w:val="24"/>
        </w:rPr>
      </w:pPr>
      <w:r>
        <w:rPr>
          <w:rFonts w:ascii="仿宋" w:eastAsia="仿宋" w:hAnsi="仿宋" w:hint="eastAsia"/>
          <w:sz w:val="28"/>
          <w:szCs w:val="28"/>
        </w:rPr>
        <w:t>5、培育公益品牌项目，弘扬、传播慈善文化。</w:t>
      </w:r>
      <w:r>
        <w:rPr>
          <w:rFonts w:hint="eastAsia"/>
          <w:sz w:val="24"/>
          <w:szCs w:val="24"/>
        </w:rPr>
        <w:t xml:space="preserve"> </w:t>
      </w:r>
    </w:p>
    <w:p w:rsidR="00337FE4" w:rsidRDefault="00337FE4">
      <w:pPr>
        <w:ind w:firstLineChars="200" w:firstLine="560"/>
        <w:rPr>
          <w:rFonts w:ascii="仿宋" w:eastAsia="仿宋" w:hAnsi="仿宋"/>
          <w:color w:val="000000" w:themeColor="text1"/>
          <w:sz w:val="28"/>
          <w:szCs w:val="28"/>
        </w:rPr>
      </w:pPr>
    </w:p>
    <w:p w:rsidR="00337FE4" w:rsidRDefault="0069728D">
      <w:pPr>
        <w:spacing w:line="360" w:lineRule="auto"/>
        <w:jc w:val="center"/>
        <w:rPr>
          <w:rFonts w:ascii="仿宋" w:eastAsia="仿宋" w:hAnsi="仿宋"/>
          <w:color w:val="000000" w:themeColor="text1"/>
          <w:sz w:val="28"/>
          <w:szCs w:val="28"/>
        </w:rPr>
      </w:pPr>
      <w:r>
        <w:rPr>
          <w:rFonts w:ascii="仿宋" w:eastAsia="仿宋" w:hAnsi="仿宋" w:hint="eastAsia"/>
          <w:color w:val="000000" w:themeColor="text1"/>
          <w:sz w:val="28"/>
          <w:szCs w:val="28"/>
        </w:rPr>
        <w:t>第二章  项目策划</w:t>
      </w:r>
    </w:p>
    <w:p w:rsidR="00337FE4" w:rsidRDefault="0069728D">
      <w:pPr>
        <w:spacing w:line="360" w:lineRule="auto"/>
        <w:ind w:firstLine="555"/>
        <w:jc w:val="left"/>
        <w:rPr>
          <w:rFonts w:ascii="仿宋" w:eastAsia="仿宋" w:hAnsi="仿宋"/>
          <w:color w:val="000000" w:themeColor="text1"/>
          <w:sz w:val="28"/>
          <w:szCs w:val="28"/>
        </w:rPr>
      </w:pPr>
      <w:r>
        <w:rPr>
          <w:rFonts w:ascii="仿宋" w:eastAsia="仿宋" w:hAnsi="仿宋" w:hint="eastAsia"/>
          <w:color w:val="000000" w:themeColor="text1"/>
          <w:sz w:val="28"/>
          <w:szCs w:val="28"/>
        </w:rPr>
        <w:t>第四条  捐赠项目策划应符合基金会的设立宗旨、登记注册的业</w:t>
      </w:r>
      <w:r>
        <w:rPr>
          <w:rFonts w:ascii="仿宋" w:eastAsia="仿宋" w:hAnsi="仿宋" w:hint="eastAsia"/>
          <w:color w:val="000000" w:themeColor="text1"/>
          <w:sz w:val="28"/>
          <w:szCs w:val="28"/>
        </w:rPr>
        <w:lastRenderedPageBreak/>
        <w:t>务范围，体现并尊重捐赠人的意愿，坚持基金会</w:t>
      </w:r>
      <w:r>
        <w:rPr>
          <w:rFonts w:ascii="仿宋" w:eastAsia="仿宋" w:hAnsi="仿宋"/>
          <w:color w:val="000000" w:themeColor="text1"/>
          <w:sz w:val="28"/>
          <w:szCs w:val="28"/>
        </w:rPr>
        <w:t>发展需</w:t>
      </w:r>
      <w:r>
        <w:rPr>
          <w:rFonts w:ascii="仿宋" w:eastAsia="仿宋" w:hAnsi="仿宋" w:hint="eastAsia"/>
          <w:color w:val="000000" w:themeColor="text1"/>
          <w:sz w:val="28"/>
          <w:szCs w:val="28"/>
        </w:rPr>
        <w:t>求与捐赠人意愿相</w:t>
      </w:r>
      <w:r>
        <w:rPr>
          <w:rFonts w:ascii="仿宋" w:eastAsia="仿宋" w:hAnsi="仿宋"/>
          <w:color w:val="000000" w:themeColor="text1"/>
          <w:sz w:val="28"/>
          <w:szCs w:val="28"/>
        </w:rPr>
        <w:t>统一</w:t>
      </w:r>
      <w:r>
        <w:rPr>
          <w:rFonts w:ascii="仿宋" w:eastAsia="仿宋" w:hAnsi="仿宋" w:hint="eastAsia"/>
          <w:color w:val="000000" w:themeColor="text1"/>
          <w:sz w:val="28"/>
          <w:szCs w:val="28"/>
        </w:rPr>
        <w:t>的原则，以促进北京大学教学科研、人才培养和社会服务事业的发展为主要目标。</w:t>
      </w:r>
    </w:p>
    <w:p w:rsidR="00337FE4" w:rsidRDefault="0069728D">
      <w:pPr>
        <w:spacing w:line="360" w:lineRule="auto"/>
        <w:ind w:firstLine="555"/>
        <w:jc w:val="left"/>
        <w:rPr>
          <w:rFonts w:ascii="仿宋" w:eastAsia="仿宋" w:hAnsi="仿宋"/>
          <w:color w:val="000000" w:themeColor="text1"/>
          <w:sz w:val="28"/>
          <w:szCs w:val="28"/>
        </w:rPr>
      </w:pPr>
      <w:r>
        <w:rPr>
          <w:rFonts w:ascii="仿宋" w:eastAsia="仿宋" w:hAnsi="仿宋" w:hint="eastAsia"/>
          <w:color w:val="000000" w:themeColor="text1"/>
          <w:sz w:val="28"/>
          <w:szCs w:val="28"/>
        </w:rPr>
        <w:t>第五条  根据基金会资助特点，基金会捐赠项目主要用于以下领域：</w:t>
      </w:r>
    </w:p>
    <w:p w:rsidR="00337FE4" w:rsidRDefault="0069728D">
      <w:pPr>
        <w:spacing w:line="360" w:lineRule="auto"/>
        <w:ind w:firstLineChars="200" w:firstLine="560"/>
        <w:jc w:val="left"/>
        <w:rPr>
          <w:rFonts w:ascii="仿宋" w:eastAsia="仿宋" w:hAnsi="仿宋"/>
          <w:sz w:val="28"/>
          <w:szCs w:val="28"/>
        </w:rPr>
      </w:pPr>
      <w:r>
        <w:rPr>
          <w:rFonts w:ascii="仿宋" w:eastAsia="仿宋" w:hAnsi="仿宋" w:hint="eastAsia"/>
          <w:color w:val="000000" w:themeColor="text1"/>
          <w:sz w:val="28"/>
          <w:szCs w:val="28"/>
        </w:rPr>
        <w:t>1、</w:t>
      </w:r>
      <w:r>
        <w:rPr>
          <w:rFonts w:ascii="仿宋" w:eastAsia="仿宋" w:hAnsi="仿宋" w:hint="eastAsia"/>
          <w:sz w:val="28"/>
          <w:szCs w:val="28"/>
        </w:rPr>
        <w:t>学生奖助：包括各类奖学金、助学金、科研基金、海外交流基金、社会实践基金、品德培养基金等等，旨在奖优助困，扶助学生全面成长。</w:t>
      </w:r>
    </w:p>
    <w:p w:rsidR="00337FE4" w:rsidRDefault="0069728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2、教师队伍建</w:t>
      </w:r>
      <w:bookmarkStart w:id="0" w:name="_GoBack"/>
      <w:bookmarkEnd w:id="0"/>
      <w:r>
        <w:rPr>
          <w:rFonts w:ascii="仿宋" w:eastAsia="仿宋" w:hAnsi="仿宋" w:hint="eastAsia"/>
          <w:sz w:val="28"/>
          <w:szCs w:val="28"/>
        </w:rPr>
        <w:t>设：包括各类奖教金、杰出青年学者奖、讲席教授基金</w:t>
      </w:r>
      <w:r w:rsidR="00337FE4" w:rsidRPr="00337FE4">
        <w:rPr>
          <w:rFonts w:ascii="仿宋" w:eastAsia="仿宋" w:hAnsi="仿宋" w:hint="eastAsia"/>
          <w:sz w:val="28"/>
          <w:szCs w:val="28"/>
        </w:rPr>
        <w:t>、创新团队基金，</w:t>
      </w:r>
      <w:r>
        <w:rPr>
          <w:rFonts w:ascii="仿宋" w:eastAsia="仿宋" w:hAnsi="仿宋" w:hint="eastAsia"/>
          <w:sz w:val="28"/>
          <w:szCs w:val="28"/>
        </w:rPr>
        <w:t>旨在奖励优秀，扶植青年，延揽顶尖人才，建设人员稳定、梯队合理的高水平师资队伍。</w:t>
      </w:r>
    </w:p>
    <w:p w:rsidR="00337FE4" w:rsidRDefault="0069728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3、各类研究基金和出版基金：支持学术研究及成果的发表和出版；</w:t>
      </w:r>
    </w:p>
    <w:p w:rsidR="00337FE4" w:rsidRDefault="0069728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4、学术交流资助：支持学术互访、大学间国际合作项目的开展以及国际学术会议等；</w:t>
      </w:r>
    </w:p>
    <w:p w:rsidR="00337FE4" w:rsidRDefault="0069728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5、基础设施建设：支持教学科研和生活设施的改善和提升；</w:t>
      </w:r>
    </w:p>
    <w:p w:rsidR="00337FE4" w:rsidRDefault="0069728D">
      <w:pPr>
        <w:spacing w:line="360" w:lineRule="auto"/>
        <w:ind w:firstLineChars="200" w:firstLine="560"/>
        <w:jc w:val="left"/>
        <w:rPr>
          <w:rFonts w:ascii="仿宋" w:eastAsia="仿宋" w:hAnsi="仿宋"/>
          <w:sz w:val="28"/>
          <w:szCs w:val="28"/>
        </w:rPr>
      </w:pPr>
      <w:r>
        <w:rPr>
          <w:rFonts w:ascii="仿宋" w:eastAsia="仿宋" w:hAnsi="仿宋" w:hint="eastAsia"/>
          <w:sz w:val="28"/>
          <w:szCs w:val="28"/>
        </w:rPr>
        <w:t>6、关注和支持社会弱势群体的其他公益项目，等等。</w:t>
      </w:r>
    </w:p>
    <w:p w:rsidR="00337FE4" w:rsidRDefault="0069728D">
      <w:pPr>
        <w:spacing w:line="360" w:lineRule="auto"/>
        <w:ind w:firstLine="555"/>
        <w:rPr>
          <w:rFonts w:ascii="仿宋" w:eastAsia="仿宋" w:hAnsi="仿宋"/>
          <w:sz w:val="28"/>
          <w:szCs w:val="28"/>
        </w:rPr>
      </w:pPr>
      <w:r>
        <w:rPr>
          <w:rFonts w:ascii="仿宋" w:eastAsia="仿宋" w:hAnsi="仿宋" w:hint="eastAsia"/>
          <w:sz w:val="28"/>
          <w:szCs w:val="28"/>
        </w:rPr>
        <w:t xml:space="preserve">  </w:t>
      </w:r>
    </w:p>
    <w:p w:rsidR="00337FE4" w:rsidRDefault="0069728D">
      <w:pPr>
        <w:spacing w:line="360" w:lineRule="auto"/>
        <w:jc w:val="center"/>
        <w:rPr>
          <w:rFonts w:ascii="仿宋" w:eastAsia="仿宋" w:hAnsi="仿宋"/>
          <w:sz w:val="28"/>
          <w:szCs w:val="28"/>
        </w:rPr>
      </w:pPr>
      <w:r>
        <w:rPr>
          <w:rFonts w:ascii="仿宋" w:eastAsia="仿宋" w:hAnsi="仿宋" w:hint="eastAsia"/>
          <w:sz w:val="28"/>
          <w:szCs w:val="28"/>
        </w:rPr>
        <w:t>第三章  项目设立</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第六条  捐赠人可通过签订捐赠协议或签发捐赠信函等书面方式与基金会约定捐赠事项，明确捐赠人信息，捐赠财产的种类、数量、质量、用途、交付时间等内容；</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lastRenderedPageBreak/>
        <w:t>第七条  通过签署书面捐赠协议约定捐赠事项的，基金会应为捐赠协议主体之一，协议内容需按照基金会协议审批程序进行审批。经基金会审核通过的协议方可安排签署，未经基金会审核同意或未经基金会签署的协议不予认可。基金会理事长、副理事长、秘书长、副秘书长可代表基金会签署协议。</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第八条  项目负责人按照基金会要求填写立项申请表，提出立项申请，经基金会审核通过后正式立项。</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第九条  基金会捐赠财产根据用途类型可分为两类：</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1、限定性捐赠财产：指项目章程、捐赠协议或捐赠信函等书面文件对捐赠财产的使用进行了时间或用途方面的明确限定；</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2、非限定性捐赠财产：捐赠人未具体限定捐赠财产的使用时间或用途，基金会可根据基金会宗旨和业务范围，决定使用目标和方式。</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第十条  基金会捐赠项目设立可选择</w:t>
      </w:r>
      <w:proofErr w:type="gramStart"/>
      <w:r>
        <w:rPr>
          <w:rFonts w:ascii="仿宋" w:eastAsia="仿宋" w:hAnsi="仿宋" w:hint="eastAsia"/>
          <w:sz w:val="28"/>
          <w:szCs w:val="28"/>
        </w:rPr>
        <w:t>动本资金</w:t>
      </w:r>
      <w:proofErr w:type="gramEnd"/>
      <w:r>
        <w:rPr>
          <w:rFonts w:ascii="仿宋" w:eastAsia="仿宋" w:hAnsi="仿宋" w:hint="eastAsia"/>
          <w:sz w:val="28"/>
          <w:szCs w:val="28"/>
        </w:rPr>
        <w:t>项目与不动本基金项目两种形式。不动本基金项目本金保留，每年以其全部或一定比例的基金收益支持项目开展；动本资金项目则使用项目资金直接用于项目支出，直至捐赠款全部使用完毕，项目终止。不同资金形式的选择应尊重捐赠人意愿，选择不动本基金形式的，应在项目章程、捐赠协议或捐赠信函中予以明确，并约定基金收益的分配和使用方式。</w:t>
      </w:r>
    </w:p>
    <w:p w:rsidR="00337FE4" w:rsidRDefault="00337FE4">
      <w:pPr>
        <w:ind w:firstLineChars="200" w:firstLine="560"/>
        <w:rPr>
          <w:rFonts w:ascii="仿宋" w:eastAsia="仿宋" w:hAnsi="仿宋"/>
          <w:sz w:val="28"/>
          <w:szCs w:val="28"/>
        </w:rPr>
      </w:pPr>
    </w:p>
    <w:p w:rsidR="00337FE4" w:rsidRDefault="0069728D">
      <w:pPr>
        <w:jc w:val="center"/>
        <w:rPr>
          <w:rFonts w:ascii="仿宋" w:eastAsia="仿宋" w:hAnsi="仿宋"/>
          <w:sz w:val="28"/>
          <w:szCs w:val="28"/>
        </w:rPr>
      </w:pPr>
      <w:r>
        <w:rPr>
          <w:rFonts w:ascii="仿宋" w:eastAsia="仿宋" w:hAnsi="仿宋" w:hint="eastAsia"/>
          <w:sz w:val="28"/>
          <w:szCs w:val="28"/>
        </w:rPr>
        <w:t>第四章 组织实施</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项目组织实施包括项目的执行与监管，反馈与宣传等工作。</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第十条  限定性资金与物资的捐赠，待捐赠资金或物资到位后，</w:t>
      </w:r>
      <w:r>
        <w:rPr>
          <w:rFonts w:ascii="仿宋" w:eastAsia="仿宋" w:hAnsi="仿宋" w:hint="eastAsia"/>
          <w:sz w:val="28"/>
          <w:szCs w:val="28"/>
        </w:rPr>
        <w:lastRenderedPageBreak/>
        <w:t>由基金会设立专门科目，进行专项管理。</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第十一条  限定性捐赠财产的使用依据项目章程、捐赠协议或捐赠信函等约定执行；非限定性捐赠财产的使用，由基金会秘书处根据基金会和学校的发展需要，提出资金使用方案，报学校和基金会理事会讨论决定。</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 xml:space="preserve">第十二条  基金会项目执行实施项目负责人全程负责制。项目负责人的主要职责是：  </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1、督促捐赠资金按照协议约定如期到位；按照基金会要求，制定项目实施方案，确保活动开展与资金使用公开、透明，符合捐赠协议约定；</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2、按照捐赠协议和学校、基金会的财务管理制度完成项目资金的使用审批和监管；</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3、定期向捐赠人和基金会汇报项目执行情况，宣传项目效果；</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4、及时、如实答复捐赠人和基金会的各种查询。</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第十三条  基金会项目管理部作为捐赠项目管理的执行机构，对项目的执行履行监管职责，对于不符合协议约定的项目执行，有权提出相应方案，报秘书处或理事会审议批准后，暂停其资金使用或终止该项目。</w:t>
      </w:r>
    </w:p>
    <w:p w:rsidR="00337FE4" w:rsidRDefault="0069728D">
      <w:pPr>
        <w:ind w:firstLineChars="200" w:firstLine="560"/>
        <w:rPr>
          <w:rFonts w:ascii="仿宋" w:eastAsia="仿宋" w:hAnsi="仿宋"/>
          <w:sz w:val="28"/>
          <w:szCs w:val="28"/>
        </w:rPr>
      </w:pPr>
      <w:r>
        <w:rPr>
          <w:rFonts w:ascii="仿宋" w:eastAsia="仿宋" w:hAnsi="仿宋" w:hint="eastAsia"/>
          <w:sz w:val="28"/>
          <w:szCs w:val="28"/>
        </w:rPr>
        <w:t>第十四条   捐赠项目执行尽可能纳入学校已有评审体系。确因需要成立专项项目管委会或理事会的，必须按照协议约定认真履行其职责。</w:t>
      </w:r>
    </w:p>
    <w:p w:rsidR="00337FE4" w:rsidRDefault="00337FE4">
      <w:pPr>
        <w:rPr>
          <w:rFonts w:ascii="仿宋" w:eastAsia="仿宋" w:hAnsi="仿宋"/>
          <w:sz w:val="28"/>
          <w:szCs w:val="28"/>
        </w:rPr>
      </w:pPr>
    </w:p>
    <w:p w:rsidR="00337FE4" w:rsidRDefault="0069728D">
      <w:pPr>
        <w:jc w:val="center"/>
        <w:rPr>
          <w:rFonts w:ascii="仿宋" w:eastAsia="仿宋" w:hAnsi="仿宋"/>
          <w:sz w:val="28"/>
          <w:szCs w:val="28"/>
        </w:rPr>
      </w:pPr>
      <w:r>
        <w:rPr>
          <w:rFonts w:ascii="仿宋" w:eastAsia="仿宋" w:hAnsi="仿宋" w:hint="eastAsia"/>
          <w:sz w:val="28"/>
          <w:szCs w:val="28"/>
        </w:rPr>
        <w:lastRenderedPageBreak/>
        <w:t xml:space="preserve">第五章  附则 </w:t>
      </w:r>
    </w:p>
    <w:p w:rsidR="00337FE4" w:rsidRDefault="0069728D">
      <w:pPr>
        <w:ind w:firstLine="555"/>
        <w:rPr>
          <w:rFonts w:ascii="仿宋" w:eastAsia="仿宋" w:hAnsi="仿宋"/>
          <w:sz w:val="28"/>
          <w:szCs w:val="28"/>
        </w:rPr>
      </w:pPr>
      <w:r>
        <w:rPr>
          <w:rFonts w:ascii="仿宋" w:eastAsia="仿宋" w:hAnsi="仿宋" w:hint="eastAsia"/>
          <w:sz w:val="28"/>
          <w:szCs w:val="28"/>
        </w:rPr>
        <w:t>第十五条  本办法由北京大学教育基金会理事会审议通过，自颁布之日起执行。</w:t>
      </w:r>
    </w:p>
    <w:p w:rsidR="00337FE4" w:rsidRDefault="0069728D">
      <w:pPr>
        <w:ind w:firstLine="555"/>
        <w:rPr>
          <w:rFonts w:ascii="仿宋" w:eastAsia="仿宋" w:hAnsi="仿宋"/>
          <w:sz w:val="28"/>
          <w:szCs w:val="28"/>
        </w:rPr>
      </w:pPr>
      <w:r>
        <w:rPr>
          <w:rFonts w:ascii="仿宋" w:eastAsia="仿宋" w:hAnsi="仿宋" w:hint="eastAsia"/>
          <w:sz w:val="28"/>
          <w:szCs w:val="28"/>
        </w:rPr>
        <w:t>第十六条   本办法的解释权在北京大学教育基金会。</w:t>
      </w:r>
    </w:p>
    <w:p w:rsidR="00337FE4" w:rsidRDefault="00337FE4">
      <w:pPr>
        <w:ind w:firstLine="555"/>
        <w:rPr>
          <w:rFonts w:ascii="仿宋" w:eastAsia="仿宋" w:hAnsi="仿宋"/>
          <w:sz w:val="28"/>
          <w:szCs w:val="28"/>
        </w:rPr>
      </w:pPr>
    </w:p>
    <w:p w:rsidR="00337FE4" w:rsidRDefault="0069728D" w:rsidP="00F44388">
      <w:pPr>
        <w:ind w:firstLine="555"/>
        <w:rPr>
          <w:rFonts w:ascii="仿宋" w:eastAsia="仿宋" w:hAnsi="仿宋"/>
          <w:sz w:val="28"/>
          <w:szCs w:val="28"/>
        </w:rPr>
      </w:pPr>
      <w:r>
        <w:rPr>
          <w:rFonts w:ascii="仿宋" w:eastAsia="仿宋" w:hAnsi="仿宋" w:hint="eastAsia"/>
          <w:sz w:val="28"/>
          <w:szCs w:val="28"/>
        </w:rPr>
        <w:t xml:space="preserve">                           </w:t>
      </w:r>
    </w:p>
    <w:sectPr w:rsidR="00337FE4" w:rsidSect="00337F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874" w:rsidRDefault="00EA6874" w:rsidP="00642CF1">
      <w:r>
        <w:separator/>
      </w:r>
    </w:p>
  </w:endnote>
  <w:endnote w:type="continuationSeparator" w:id="0">
    <w:p w:rsidR="00EA6874" w:rsidRDefault="00EA6874" w:rsidP="00642C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874" w:rsidRDefault="00EA6874" w:rsidP="00642CF1">
      <w:r>
        <w:separator/>
      </w:r>
    </w:p>
  </w:footnote>
  <w:footnote w:type="continuationSeparator" w:id="0">
    <w:p w:rsidR="00EA6874" w:rsidRDefault="00EA6874" w:rsidP="00642CF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北大 1991英语本 李宇宁">
    <w15:presenceInfo w15:providerId="WPS Office" w15:userId="4070195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3220"/>
    <w:rsid w:val="00014F9D"/>
    <w:rsid w:val="00070B37"/>
    <w:rsid w:val="00076B82"/>
    <w:rsid w:val="000A0CAF"/>
    <w:rsid w:val="00150C06"/>
    <w:rsid w:val="0015776E"/>
    <w:rsid w:val="00195599"/>
    <w:rsid w:val="001A0815"/>
    <w:rsid w:val="001B1F0E"/>
    <w:rsid w:val="001B5D19"/>
    <w:rsid w:val="001D3E29"/>
    <w:rsid w:val="001E4F02"/>
    <w:rsid w:val="0022402E"/>
    <w:rsid w:val="0025433B"/>
    <w:rsid w:val="00262ABC"/>
    <w:rsid w:val="002D1A8A"/>
    <w:rsid w:val="003268DE"/>
    <w:rsid w:val="00337FE4"/>
    <w:rsid w:val="00350A97"/>
    <w:rsid w:val="003578A2"/>
    <w:rsid w:val="00366E09"/>
    <w:rsid w:val="004238AB"/>
    <w:rsid w:val="00477A78"/>
    <w:rsid w:val="004A3181"/>
    <w:rsid w:val="004C216D"/>
    <w:rsid w:val="004F538C"/>
    <w:rsid w:val="00514AB1"/>
    <w:rsid w:val="00514B26"/>
    <w:rsid w:val="0051727F"/>
    <w:rsid w:val="00591F60"/>
    <w:rsid w:val="005A5AF8"/>
    <w:rsid w:val="005B5C7F"/>
    <w:rsid w:val="005D1F1D"/>
    <w:rsid w:val="00604AFC"/>
    <w:rsid w:val="00622C71"/>
    <w:rsid w:val="006256AF"/>
    <w:rsid w:val="006262AF"/>
    <w:rsid w:val="00636B80"/>
    <w:rsid w:val="00642CF1"/>
    <w:rsid w:val="00684B42"/>
    <w:rsid w:val="00685EE7"/>
    <w:rsid w:val="006917C4"/>
    <w:rsid w:val="0069373A"/>
    <w:rsid w:val="0069728D"/>
    <w:rsid w:val="006C3E7A"/>
    <w:rsid w:val="006D1971"/>
    <w:rsid w:val="007660C0"/>
    <w:rsid w:val="0078059C"/>
    <w:rsid w:val="007D4756"/>
    <w:rsid w:val="007F4F52"/>
    <w:rsid w:val="00813220"/>
    <w:rsid w:val="008421F1"/>
    <w:rsid w:val="008C75F5"/>
    <w:rsid w:val="00913A97"/>
    <w:rsid w:val="00923297"/>
    <w:rsid w:val="00993A98"/>
    <w:rsid w:val="009A6248"/>
    <w:rsid w:val="009B5976"/>
    <w:rsid w:val="009C6795"/>
    <w:rsid w:val="009E5925"/>
    <w:rsid w:val="00AC316C"/>
    <w:rsid w:val="00B200DE"/>
    <w:rsid w:val="00B43F1C"/>
    <w:rsid w:val="00B56261"/>
    <w:rsid w:val="00B91B3A"/>
    <w:rsid w:val="00BA4FDE"/>
    <w:rsid w:val="00BE1A58"/>
    <w:rsid w:val="00BE44AA"/>
    <w:rsid w:val="00BE4907"/>
    <w:rsid w:val="00C41E05"/>
    <w:rsid w:val="00C56FD9"/>
    <w:rsid w:val="00C67343"/>
    <w:rsid w:val="00C70626"/>
    <w:rsid w:val="00C906D1"/>
    <w:rsid w:val="00C978E0"/>
    <w:rsid w:val="00CA2B82"/>
    <w:rsid w:val="00CE659F"/>
    <w:rsid w:val="00CF2B13"/>
    <w:rsid w:val="00D071AC"/>
    <w:rsid w:val="00D5764B"/>
    <w:rsid w:val="00DA1ECE"/>
    <w:rsid w:val="00E532F9"/>
    <w:rsid w:val="00E6221B"/>
    <w:rsid w:val="00E70678"/>
    <w:rsid w:val="00EA6874"/>
    <w:rsid w:val="00F226C5"/>
    <w:rsid w:val="00F342D3"/>
    <w:rsid w:val="00F44388"/>
    <w:rsid w:val="00F768C0"/>
    <w:rsid w:val="00F82CF3"/>
    <w:rsid w:val="00FE10D4"/>
    <w:rsid w:val="00FF5D73"/>
    <w:rsid w:val="048732F7"/>
    <w:rsid w:val="106D0259"/>
    <w:rsid w:val="10ED7D84"/>
    <w:rsid w:val="1EBC39AA"/>
    <w:rsid w:val="257B09BE"/>
    <w:rsid w:val="34E8330C"/>
    <w:rsid w:val="3FF22EE3"/>
    <w:rsid w:val="412F0DB7"/>
    <w:rsid w:val="755C18B8"/>
    <w:rsid w:val="76502E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337FE4"/>
    <w:rPr>
      <w:b/>
      <w:bCs/>
    </w:rPr>
  </w:style>
  <w:style w:type="paragraph" w:styleId="a4">
    <w:name w:val="annotation text"/>
    <w:basedOn w:val="a"/>
    <w:link w:val="Char0"/>
    <w:uiPriority w:val="99"/>
    <w:semiHidden/>
    <w:unhideWhenUsed/>
    <w:qFormat/>
    <w:rsid w:val="00337FE4"/>
    <w:pPr>
      <w:jc w:val="left"/>
    </w:pPr>
  </w:style>
  <w:style w:type="paragraph" w:styleId="a5">
    <w:name w:val="Balloon Text"/>
    <w:basedOn w:val="a"/>
    <w:link w:val="Char1"/>
    <w:uiPriority w:val="99"/>
    <w:semiHidden/>
    <w:unhideWhenUsed/>
    <w:qFormat/>
    <w:rsid w:val="00337FE4"/>
    <w:rPr>
      <w:sz w:val="18"/>
      <w:szCs w:val="18"/>
    </w:rPr>
  </w:style>
  <w:style w:type="character" w:styleId="a6">
    <w:name w:val="annotation reference"/>
    <w:basedOn w:val="a0"/>
    <w:uiPriority w:val="99"/>
    <w:semiHidden/>
    <w:unhideWhenUsed/>
    <w:rsid w:val="00337FE4"/>
    <w:rPr>
      <w:sz w:val="21"/>
      <w:szCs w:val="21"/>
    </w:rPr>
  </w:style>
  <w:style w:type="character" w:customStyle="1" w:styleId="Char1">
    <w:name w:val="批注框文本 Char"/>
    <w:basedOn w:val="a0"/>
    <w:link w:val="a5"/>
    <w:uiPriority w:val="99"/>
    <w:semiHidden/>
    <w:rsid w:val="00337FE4"/>
    <w:rPr>
      <w:sz w:val="18"/>
      <w:szCs w:val="18"/>
    </w:rPr>
  </w:style>
  <w:style w:type="character" w:customStyle="1" w:styleId="Char0">
    <w:name w:val="批注文字 Char"/>
    <w:basedOn w:val="a0"/>
    <w:link w:val="a4"/>
    <w:uiPriority w:val="99"/>
    <w:semiHidden/>
    <w:qFormat/>
    <w:rsid w:val="00337FE4"/>
    <w:rPr>
      <w:kern w:val="2"/>
      <w:sz w:val="21"/>
      <w:szCs w:val="22"/>
    </w:rPr>
  </w:style>
  <w:style w:type="character" w:customStyle="1" w:styleId="Char">
    <w:name w:val="批注主题 Char"/>
    <w:basedOn w:val="Char0"/>
    <w:link w:val="a3"/>
    <w:uiPriority w:val="99"/>
    <w:semiHidden/>
    <w:qFormat/>
    <w:rsid w:val="00337FE4"/>
    <w:rPr>
      <w:b/>
      <w:bCs/>
      <w:kern w:val="2"/>
      <w:sz w:val="21"/>
      <w:szCs w:val="22"/>
    </w:rPr>
  </w:style>
  <w:style w:type="paragraph" w:styleId="a7">
    <w:name w:val="header"/>
    <w:basedOn w:val="a"/>
    <w:link w:val="Char2"/>
    <w:uiPriority w:val="99"/>
    <w:semiHidden/>
    <w:unhideWhenUsed/>
    <w:rsid w:val="00642CF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642CF1"/>
    <w:rPr>
      <w:kern w:val="2"/>
      <w:sz w:val="18"/>
      <w:szCs w:val="18"/>
    </w:rPr>
  </w:style>
  <w:style w:type="paragraph" w:styleId="a8">
    <w:name w:val="footer"/>
    <w:basedOn w:val="a"/>
    <w:link w:val="Char3"/>
    <w:uiPriority w:val="99"/>
    <w:semiHidden/>
    <w:unhideWhenUsed/>
    <w:rsid w:val="00642CF1"/>
    <w:pPr>
      <w:tabs>
        <w:tab w:val="center" w:pos="4153"/>
        <w:tab w:val="right" w:pos="8306"/>
      </w:tabs>
      <w:snapToGrid w:val="0"/>
      <w:jc w:val="left"/>
    </w:pPr>
    <w:rPr>
      <w:sz w:val="18"/>
      <w:szCs w:val="18"/>
    </w:rPr>
  </w:style>
  <w:style w:type="character" w:customStyle="1" w:styleId="Char3">
    <w:name w:val="页脚 Char"/>
    <w:basedOn w:val="a0"/>
    <w:link w:val="a8"/>
    <w:uiPriority w:val="99"/>
    <w:semiHidden/>
    <w:rsid w:val="00642CF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303</Words>
  <Characters>1728</Characters>
  <Application>Microsoft Office Word</Application>
  <DocSecurity>0</DocSecurity>
  <Lines>14</Lines>
  <Paragraphs>4</Paragraphs>
  <ScaleCrop>false</ScaleCrop>
  <Company>中国石油大学</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桑三博客</cp:lastModifiedBy>
  <cp:revision>5</cp:revision>
  <cp:lastPrinted>2017-09-20T03:43:00Z</cp:lastPrinted>
  <dcterms:created xsi:type="dcterms:W3CDTF">2018-12-13T00:36:00Z</dcterms:created>
  <dcterms:modified xsi:type="dcterms:W3CDTF">2019-01-17T09:26:00Z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